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CB571" w14:textId="443DC166" w:rsidR="007058EB" w:rsidRDefault="00507F46" w:rsidP="008B4347">
      <w:pPr>
        <w:jc w:val="center"/>
        <w:rPr>
          <w:b/>
        </w:rPr>
      </w:pPr>
      <w:r w:rsidRPr="008867E8">
        <w:rPr>
          <w:b/>
        </w:rPr>
        <w:t>Is patient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 </w:rPr>
      </w:pPr>
    </w:p>
    <w:p w14:paraId="3D726508" w14:textId="77777777" w:rsidR="008B4347" w:rsidRPr="008867E8" w:rsidRDefault="008B4347" w:rsidP="008B4347">
      <w:pPr>
        <w:jc w:val="center"/>
      </w:pPr>
    </w:p>
    <w:p w14:paraId="7AF11620" w14:textId="77777777" w:rsidR="00507F46" w:rsidRDefault="00507F46" w:rsidP="00507F46">
      <w:r w:rsidRPr="0020051C">
        <w:t xml:space="preserve">When considering the safety of self-monitoring, researchers have tried to answer two main questions: </w:t>
      </w:r>
    </w:p>
    <w:p w14:paraId="1C41025D" w14:textId="77777777" w:rsidR="008B4347" w:rsidRPr="0020051C" w:rsidRDefault="008B4347" w:rsidP="00507F46"/>
    <w:p w14:paraId="0DEAB97F" w14:textId="77777777" w:rsidR="00507F46" w:rsidRPr="0020051C" w:rsidRDefault="00507F46" w:rsidP="00507F46"/>
    <w:p w14:paraId="00DAF7F6" w14:textId="77777777" w:rsidR="00507F46" w:rsidRDefault="00507F46" w:rsidP="00507F46">
      <w:pPr>
        <w:rPr>
          <w:b/>
        </w:rPr>
      </w:pPr>
      <w:proofErr w:type="spellStart"/>
      <w:r w:rsidRPr="0020051C">
        <w:t>i</w:t>
      </w:r>
      <w:proofErr w:type="spellEnd"/>
      <w:r w:rsidRPr="0020051C">
        <w:rPr>
          <w:b/>
        </w:rPr>
        <w:t>) Will self-monitoring result in me being at the correct INR more often than if I was attending a conventional anticoagulant clinic?</w:t>
      </w:r>
    </w:p>
    <w:p w14:paraId="082E576D" w14:textId="77777777" w:rsidR="008B4347" w:rsidRPr="0020051C" w:rsidRDefault="008B4347" w:rsidP="00507F46"/>
    <w:p w14:paraId="6B673C08" w14:textId="77777777" w:rsidR="00507F46" w:rsidRPr="0020051C" w:rsidRDefault="00507F46" w:rsidP="00507F46"/>
    <w:p w14:paraId="3ACABB02" w14:textId="77777777" w:rsidR="008867E8" w:rsidRDefault="00507F46" w:rsidP="00507F46">
      <w:r w:rsidRPr="0020051C">
        <w:t>Studies published over the last 24 years have looked at the safety of patient self-monitoring of oral anticoagulation (PST or PSM). Most studies did this by following two groups of people – one group who were self-monitoring and another group who were attending an anticoagulant clinic – over a period of time and then compared how often people in these two groups were at the correct INR.</w:t>
      </w:r>
      <w:r w:rsidR="008867E8" w:rsidRPr="008867E8">
        <w:t xml:space="preserve"> </w:t>
      </w:r>
    </w:p>
    <w:p w14:paraId="3E97F887" w14:textId="77777777" w:rsidR="008867E8" w:rsidRDefault="008867E8" w:rsidP="00507F46"/>
    <w:p w14:paraId="20F6922D" w14:textId="30B53211" w:rsidR="00C9568D" w:rsidRDefault="008867E8" w:rsidP="00507F46">
      <w:r>
        <w:t>These studies found that t</w:t>
      </w:r>
      <w:r w:rsidRPr="00DB1C91">
        <w:t>he INR control of those who were self-monitoring was at least as good as, if not better than, the INRs of those attending an anticoagulant clinic</w:t>
      </w:r>
      <w:r>
        <w:t>.</w:t>
      </w:r>
    </w:p>
    <w:p w14:paraId="05047B63" w14:textId="77777777" w:rsidR="008B4347" w:rsidRDefault="008B4347" w:rsidP="00507F46"/>
    <w:p w14:paraId="17FE3107" w14:textId="77777777" w:rsidR="008B4347" w:rsidRPr="0020051C" w:rsidRDefault="008B4347" w:rsidP="00507F46"/>
    <w:p w14:paraId="1FFDC702" w14:textId="77777777" w:rsidR="00507F46" w:rsidRPr="0020051C" w:rsidRDefault="00507F46" w:rsidP="00507F46"/>
    <w:p w14:paraId="52CB5B1A" w14:textId="77777777" w:rsidR="00507F46" w:rsidRDefault="00507F46" w:rsidP="00507F46">
      <w:pPr>
        <w:rPr>
          <w:b/>
        </w:rPr>
      </w:pPr>
      <w:r w:rsidRPr="0020051C">
        <w:rPr>
          <w:b/>
        </w:rPr>
        <w:t>ii) Am I less likely to experience a blood clot or have a bleed if I am self-monitoring?</w:t>
      </w:r>
    </w:p>
    <w:p w14:paraId="0DAB8587" w14:textId="77777777" w:rsidR="008B4347" w:rsidRPr="0020051C" w:rsidRDefault="008B4347" w:rsidP="00507F46">
      <w:pPr>
        <w:rPr>
          <w:b/>
        </w:rPr>
      </w:pPr>
    </w:p>
    <w:p w14:paraId="5E72CF42" w14:textId="77777777" w:rsidR="00507F46" w:rsidRPr="0020051C" w:rsidRDefault="00507F46" w:rsidP="00507F46"/>
    <w:p w14:paraId="7585F682" w14:textId="77777777" w:rsidR="00507F46" w:rsidRPr="0020051C" w:rsidRDefault="00507F46" w:rsidP="00507F46">
      <w:r w:rsidRPr="0020051C">
        <w:t xml:space="preserve">This type of evidence is important as it measures actual clinical events. </w:t>
      </w:r>
    </w:p>
    <w:p w14:paraId="2F4EC9C5" w14:textId="28C4A1DE" w:rsidR="008B4347" w:rsidRDefault="00507F46" w:rsidP="00507F46">
      <w:r w:rsidRPr="0020051C">
        <w:t>Three large reviews that have collected together between 14 and 22 oral anticoagulation self-monitoring trials.  These reviews included trials where people were self-managing and also trials where they were self-testing. The results of these trials were then combined to identify if self-monitoring causes less bleeding or clotting than conventional care. These reviews found that those who were self-monitoring their INR were less likely to have a blood clot, and also less likely to suffer from a minor bleed.</w:t>
      </w:r>
      <w:r w:rsidRPr="0071137C">
        <w:t xml:space="preserve"> </w:t>
      </w:r>
    </w:p>
    <w:p w14:paraId="1A828550" w14:textId="77777777" w:rsidR="008B4347" w:rsidRDefault="008B4347">
      <w:r>
        <w:br w:type="page"/>
      </w:r>
    </w:p>
    <w:p w14:paraId="2C147B22" w14:textId="77777777" w:rsidR="00507F46" w:rsidRDefault="00507F46" w:rsidP="00507F46"/>
    <w:p w14:paraId="34F237EB" w14:textId="77777777" w:rsidR="00507F46" w:rsidRDefault="00507F46" w:rsidP="00507F46"/>
    <w:p w14:paraId="7EA17101" w14:textId="315DC3F3" w:rsidR="00F92A08" w:rsidRPr="008B4347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</w:rPr>
      </w:pPr>
      <w:r w:rsidRPr="008B4347">
        <w:rPr>
          <w:b/>
          <w:color w:val="0000FF"/>
        </w:rPr>
        <w:t>If you would like to explore the evidence for self-monitoring in more depth, please take a look at some key published papers that are freely available</w:t>
      </w:r>
    </w:p>
    <w:p w14:paraId="545714F0" w14:textId="77777777" w:rsidR="008B4347" w:rsidRPr="008867E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2FDD586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1B8">
        <w:rPr>
          <w:b/>
        </w:rPr>
        <w:t>Individual studies</w:t>
      </w:r>
      <w:bookmarkStart w:id="0" w:name="_GoBack"/>
      <w:bookmarkEnd w:id="0"/>
    </w:p>
    <w:p w14:paraId="4EF54B8C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6019D8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11B8">
        <w:rPr>
          <w:lang w:val="en-US"/>
        </w:rPr>
        <w:t xml:space="preserve">Fitzmaurice DA, Murray ET, </w:t>
      </w:r>
      <w:proofErr w:type="spellStart"/>
      <w:r w:rsidRPr="00A811B8">
        <w:rPr>
          <w:lang w:val="en-US"/>
        </w:rPr>
        <w:t>McCahon</w:t>
      </w:r>
      <w:proofErr w:type="spellEnd"/>
      <w:r w:rsidRPr="00A811B8">
        <w:rPr>
          <w:lang w:val="en-US"/>
        </w:rPr>
        <w:t xml:space="preserve"> D, Holder R, </w:t>
      </w:r>
      <w:proofErr w:type="spellStart"/>
      <w:r w:rsidRPr="00A811B8">
        <w:rPr>
          <w:lang w:val="en-US"/>
        </w:rPr>
        <w:t>Raftery</w:t>
      </w:r>
      <w:proofErr w:type="spellEnd"/>
      <w:r w:rsidRPr="00A811B8">
        <w:rPr>
          <w:lang w:val="en-US"/>
        </w:rPr>
        <w:t xml:space="preserve"> JP, </w:t>
      </w:r>
      <w:proofErr w:type="spellStart"/>
      <w:r w:rsidRPr="00A811B8">
        <w:rPr>
          <w:lang w:val="en-US"/>
        </w:rPr>
        <w:t>Hussain</w:t>
      </w:r>
      <w:proofErr w:type="spellEnd"/>
      <w:r w:rsidRPr="00A811B8">
        <w:rPr>
          <w:lang w:val="en-US"/>
        </w:rPr>
        <w:t xml:space="preserve"> S</w:t>
      </w:r>
      <w:r w:rsidRPr="00A811B8">
        <w:rPr>
          <w:i/>
          <w:iCs/>
          <w:lang w:val="en-US"/>
        </w:rPr>
        <w:t xml:space="preserve"> et al</w:t>
      </w:r>
      <w:r w:rsidRPr="00A811B8">
        <w:rPr>
          <w:lang w:val="en-US"/>
        </w:rPr>
        <w:t xml:space="preserve">. Self management of oral anticoagulation: </w:t>
      </w:r>
      <w:proofErr w:type="spellStart"/>
      <w:r w:rsidRPr="00A811B8">
        <w:rPr>
          <w:lang w:val="en-US"/>
        </w:rPr>
        <w:t>randomised</w:t>
      </w:r>
      <w:proofErr w:type="spellEnd"/>
      <w:r w:rsidRPr="00A811B8">
        <w:rPr>
          <w:lang w:val="en-US"/>
        </w:rPr>
        <w:t xml:space="preserve"> trial. </w:t>
      </w:r>
      <w:r w:rsidRPr="00A811B8">
        <w:rPr>
          <w:i/>
          <w:iCs/>
          <w:lang w:val="en-US"/>
        </w:rPr>
        <w:t>BMJ</w:t>
      </w:r>
      <w:r w:rsidRPr="00A811B8">
        <w:rPr>
          <w:lang w:val="en-US"/>
        </w:rPr>
        <w:t xml:space="preserve"> 2005</w:t>
      </w:r>
      <w:proofErr w:type="gramStart"/>
      <w:r w:rsidRPr="00A811B8">
        <w:rPr>
          <w:lang w:val="en-US"/>
        </w:rPr>
        <w:t>;</w:t>
      </w:r>
      <w:r w:rsidRPr="00A811B8">
        <w:rPr>
          <w:b/>
          <w:lang w:val="en-US"/>
        </w:rPr>
        <w:t>331</w:t>
      </w:r>
      <w:r w:rsidRPr="00A811B8">
        <w:rPr>
          <w:lang w:val="en-US"/>
        </w:rPr>
        <w:t>:1057</w:t>
      </w:r>
      <w:proofErr w:type="gramEnd"/>
      <w:r w:rsidRPr="00A811B8">
        <w:rPr>
          <w:lang w:val="en-US"/>
        </w:rPr>
        <w:t>.</w:t>
      </w:r>
    </w:p>
    <w:p w14:paraId="08CC4119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811B8">
        <w:rPr>
          <w:i/>
        </w:rPr>
        <w:t>[http://www.bmj.com/content/331/7524/1057#alternate]</w:t>
      </w:r>
    </w:p>
    <w:p w14:paraId="1EEA1674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6C26BA" w14:textId="77777777" w:rsidR="008B4347" w:rsidRPr="008B4347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8B4347">
        <w:rPr>
          <w:color w:val="0000FF"/>
        </w:rPr>
        <w:t xml:space="preserve">This study (the SMART study) is the largest published trial from the UK demonstrating the safety of patient self-management (PSM) of oral anticoagulation. </w:t>
      </w:r>
    </w:p>
    <w:p w14:paraId="71166517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31140D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1B8">
        <w:rPr>
          <w:b/>
        </w:rPr>
        <w:t>Reviews</w:t>
      </w:r>
    </w:p>
    <w:p w14:paraId="0CDAF165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6B6BC9" w14:textId="77777777" w:rsidR="008B4347" w:rsidRPr="008B4347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8B4347">
        <w:rPr>
          <w:color w:val="0000FF"/>
        </w:rPr>
        <w:t>A small number of reviews have identified, selected, collated and analysed high quality clinical studies to help us further understand if patient self-monitoring of oral anticoagulation is as safe as conventional care. Two of these are listed below.</w:t>
      </w:r>
    </w:p>
    <w:p w14:paraId="2212E26B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</w:p>
    <w:p w14:paraId="4984D659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i/>
          <w:lang w:val="en-US"/>
        </w:rPr>
      </w:pPr>
      <w:r w:rsidRPr="00A811B8">
        <w:rPr>
          <w:rFonts w:asciiTheme="minorHAnsi" w:hAnsiTheme="minorHAnsi"/>
          <w:lang w:val="en-US"/>
        </w:rPr>
        <w:t>Garcia-</w:t>
      </w:r>
      <w:proofErr w:type="spellStart"/>
      <w:r w:rsidRPr="00A811B8">
        <w:rPr>
          <w:rFonts w:asciiTheme="minorHAnsi" w:hAnsiTheme="minorHAnsi"/>
          <w:lang w:val="en-US"/>
        </w:rPr>
        <w:t>Alamino</w:t>
      </w:r>
      <w:proofErr w:type="spellEnd"/>
      <w:r w:rsidRPr="00A811B8">
        <w:rPr>
          <w:rFonts w:asciiTheme="minorHAnsi" w:hAnsiTheme="minorHAnsi"/>
          <w:lang w:val="en-US"/>
        </w:rPr>
        <w:t xml:space="preserve"> J, Ward A, Alonso-</w:t>
      </w:r>
      <w:proofErr w:type="spellStart"/>
      <w:r w:rsidRPr="00A811B8">
        <w:rPr>
          <w:rFonts w:asciiTheme="minorHAnsi" w:hAnsiTheme="minorHAnsi"/>
          <w:lang w:val="en-US"/>
        </w:rPr>
        <w:t>Coello</w:t>
      </w:r>
      <w:proofErr w:type="spellEnd"/>
      <w:r w:rsidRPr="00A811B8">
        <w:rPr>
          <w:rFonts w:asciiTheme="minorHAnsi" w:hAnsiTheme="minorHAnsi"/>
          <w:lang w:val="en-US"/>
        </w:rPr>
        <w:t xml:space="preserve"> P, </w:t>
      </w:r>
      <w:proofErr w:type="spellStart"/>
      <w:r w:rsidRPr="00A811B8">
        <w:rPr>
          <w:rFonts w:asciiTheme="minorHAnsi" w:hAnsiTheme="minorHAnsi"/>
          <w:lang w:val="en-US"/>
        </w:rPr>
        <w:t>Perera</w:t>
      </w:r>
      <w:proofErr w:type="spellEnd"/>
      <w:r w:rsidRPr="00A811B8">
        <w:rPr>
          <w:rFonts w:asciiTheme="minorHAnsi" w:hAnsiTheme="minorHAnsi"/>
          <w:lang w:val="en-US"/>
        </w:rPr>
        <w:t xml:space="preserve"> R, Bankhead C, Fitzmaurice D</w:t>
      </w:r>
      <w:r w:rsidRPr="00A811B8">
        <w:rPr>
          <w:rFonts w:asciiTheme="minorHAnsi" w:hAnsiTheme="minorHAnsi"/>
          <w:i/>
          <w:iCs/>
          <w:lang w:val="en-US"/>
        </w:rPr>
        <w:t xml:space="preserve"> et al</w:t>
      </w:r>
      <w:r w:rsidRPr="00A811B8">
        <w:rPr>
          <w:rFonts w:asciiTheme="minorHAnsi" w:hAnsiTheme="minorHAnsi"/>
          <w:lang w:val="en-US"/>
        </w:rPr>
        <w:t xml:space="preserve">. Self-monitoring and self-management of oral anticoagulation (Review). </w:t>
      </w:r>
      <w:r w:rsidRPr="00A811B8">
        <w:rPr>
          <w:rFonts w:asciiTheme="minorHAnsi" w:hAnsiTheme="minorHAnsi"/>
          <w:i/>
          <w:iCs/>
          <w:lang w:val="en-US"/>
        </w:rPr>
        <w:t>Cochrane Database of Systematic Reviews</w:t>
      </w:r>
      <w:r w:rsidRPr="00A811B8">
        <w:rPr>
          <w:rFonts w:asciiTheme="minorHAnsi" w:hAnsiTheme="minorHAnsi"/>
          <w:lang w:val="en-US"/>
        </w:rPr>
        <w:t xml:space="preserve"> 2010</w:t>
      </w:r>
      <w:proofErr w:type="gramStart"/>
      <w:r w:rsidRPr="00A811B8">
        <w:rPr>
          <w:rFonts w:asciiTheme="minorHAnsi" w:hAnsiTheme="minorHAnsi"/>
          <w:lang w:val="en-US"/>
        </w:rPr>
        <w:t>;</w:t>
      </w:r>
      <w:r w:rsidRPr="00A811B8">
        <w:rPr>
          <w:rFonts w:asciiTheme="minorHAnsi" w:hAnsiTheme="minorHAnsi"/>
          <w:b/>
          <w:lang w:val="en-US"/>
        </w:rPr>
        <w:t>4</w:t>
      </w:r>
      <w:proofErr w:type="gramEnd"/>
      <w:r w:rsidRPr="00A811B8">
        <w:rPr>
          <w:rFonts w:asciiTheme="minorHAnsi" w:hAnsiTheme="minorHAnsi"/>
          <w:lang w:val="en-US"/>
        </w:rPr>
        <w:t xml:space="preserve">. </w:t>
      </w:r>
      <w:r w:rsidRPr="00A811B8">
        <w:rPr>
          <w:rFonts w:asciiTheme="minorHAnsi" w:hAnsiTheme="minorHAnsi"/>
          <w:i/>
          <w:lang w:val="en-US"/>
        </w:rPr>
        <w:t>[http://onlinelibrary.wiley.com/doi/10.1002/14651858.CD003839.pub2/abstract]</w:t>
      </w:r>
    </w:p>
    <w:p w14:paraId="081FE602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</w:p>
    <w:p w14:paraId="4AC78DC1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</w:p>
    <w:p w14:paraId="6495F356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  <w:r w:rsidRPr="00A811B8">
        <w:rPr>
          <w:rFonts w:asciiTheme="minorHAnsi" w:hAnsiTheme="minorHAnsi"/>
          <w:lang w:val="en-US"/>
        </w:rPr>
        <w:t xml:space="preserve">Bloomfield HE, Krause A, </w:t>
      </w:r>
      <w:proofErr w:type="gramStart"/>
      <w:r w:rsidRPr="00A811B8">
        <w:rPr>
          <w:rFonts w:asciiTheme="minorHAnsi" w:hAnsiTheme="minorHAnsi"/>
          <w:lang w:val="en-US"/>
        </w:rPr>
        <w:t>Greer</w:t>
      </w:r>
      <w:proofErr w:type="gramEnd"/>
      <w:r w:rsidRPr="00A811B8">
        <w:rPr>
          <w:rFonts w:asciiTheme="minorHAnsi" w:hAnsiTheme="minorHAnsi"/>
          <w:lang w:val="en-US"/>
        </w:rPr>
        <w:t xml:space="preserve"> N, Taylor BC, MacDonald R, </w:t>
      </w:r>
      <w:proofErr w:type="spellStart"/>
      <w:r w:rsidRPr="00A811B8">
        <w:rPr>
          <w:rFonts w:asciiTheme="minorHAnsi" w:hAnsiTheme="minorHAnsi"/>
          <w:lang w:val="en-US"/>
        </w:rPr>
        <w:t>Rutks</w:t>
      </w:r>
      <w:proofErr w:type="spellEnd"/>
      <w:r w:rsidRPr="00A811B8">
        <w:rPr>
          <w:rFonts w:asciiTheme="minorHAnsi" w:hAnsiTheme="minorHAnsi"/>
          <w:lang w:val="en-US"/>
        </w:rPr>
        <w:t xml:space="preserve"> I</w:t>
      </w:r>
      <w:r w:rsidRPr="00A811B8">
        <w:rPr>
          <w:rFonts w:asciiTheme="minorHAnsi" w:hAnsiTheme="minorHAnsi"/>
          <w:i/>
          <w:iCs/>
          <w:lang w:val="en-US"/>
        </w:rPr>
        <w:t xml:space="preserve"> et al</w:t>
      </w:r>
      <w:r w:rsidRPr="00A811B8">
        <w:rPr>
          <w:rFonts w:asciiTheme="minorHAnsi" w:hAnsiTheme="minorHAnsi"/>
          <w:lang w:val="en-US"/>
        </w:rPr>
        <w:t xml:space="preserve">. Meta-analysis: Effect of Patient Self-testing and Self-management of Long-Term Anticoagulation on Major Clinical Outcomes. </w:t>
      </w:r>
      <w:r w:rsidRPr="00A811B8">
        <w:rPr>
          <w:rFonts w:asciiTheme="minorHAnsi" w:hAnsiTheme="minorHAnsi"/>
          <w:i/>
          <w:iCs/>
          <w:lang w:val="en-US"/>
        </w:rPr>
        <w:t>Annals of Internal Medicine</w:t>
      </w:r>
      <w:r w:rsidRPr="00A811B8">
        <w:rPr>
          <w:rFonts w:asciiTheme="minorHAnsi" w:hAnsiTheme="minorHAnsi"/>
          <w:lang w:val="en-US"/>
        </w:rPr>
        <w:t xml:space="preserve"> 2011</w:t>
      </w:r>
      <w:proofErr w:type="gramStart"/>
      <w:r w:rsidRPr="00A811B8">
        <w:rPr>
          <w:rFonts w:asciiTheme="minorHAnsi" w:hAnsiTheme="minorHAnsi"/>
          <w:lang w:val="en-US"/>
        </w:rPr>
        <w:t>;</w:t>
      </w:r>
      <w:r w:rsidRPr="00A811B8">
        <w:rPr>
          <w:rFonts w:asciiTheme="minorHAnsi" w:hAnsiTheme="minorHAnsi"/>
          <w:b/>
          <w:lang w:val="en-US"/>
        </w:rPr>
        <w:t>154</w:t>
      </w:r>
      <w:r w:rsidRPr="00A811B8">
        <w:rPr>
          <w:rFonts w:asciiTheme="minorHAnsi" w:hAnsiTheme="minorHAnsi"/>
          <w:lang w:val="en-US"/>
        </w:rPr>
        <w:t>:472</w:t>
      </w:r>
      <w:proofErr w:type="gramEnd"/>
      <w:r w:rsidRPr="00A811B8">
        <w:rPr>
          <w:rFonts w:asciiTheme="minorHAnsi" w:hAnsiTheme="minorHAnsi"/>
          <w:lang w:val="en-US"/>
        </w:rPr>
        <w:t>-82.</w:t>
      </w:r>
    </w:p>
    <w:p w14:paraId="67A51C5B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i/>
          <w:lang w:val="en-US"/>
        </w:rPr>
      </w:pPr>
      <w:r w:rsidRPr="00A811B8">
        <w:rPr>
          <w:rFonts w:asciiTheme="minorHAnsi" w:hAnsiTheme="minorHAnsi"/>
          <w:i/>
          <w:lang w:val="en-US"/>
        </w:rPr>
        <w:t>[http://annals.org/article.aspx</w:t>
      </w:r>
      <w:proofErr w:type="gramStart"/>
      <w:r w:rsidRPr="00A811B8">
        <w:rPr>
          <w:rFonts w:asciiTheme="minorHAnsi" w:hAnsiTheme="minorHAnsi"/>
          <w:i/>
          <w:lang w:val="en-US"/>
        </w:rPr>
        <w:t>?articleid</w:t>
      </w:r>
      <w:proofErr w:type="gramEnd"/>
      <w:r w:rsidRPr="00A811B8">
        <w:rPr>
          <w:rFonts w:asciiTheme="minorHAnsi" w:hAnsiTheme="minorHAnsi"/>
          <w:i/>
          <w:lang w:val="en-US"/>
        </w:rPr>
        <w:t>=746915]</w:t>
      </w:r>
    </w:p>
    <w:p w14:paraId="1279234F" w14:textId="77777777" w:rsidR="00F92A08" w:rsidRDefault="00F92A08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sectPr w:rsidR="00F92A08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10"/>
    <w:multiLevelType w:val="hybridMultilevel"/>
    <w:tmpl w:val="C79E75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B74BB6"/>
    <w:multiLevelType w:val="hybridMultilevel"/>
    <w:tmpl w:val="B2608F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0E41"/>
    <w:multiLevelType w:val="hybridMultilevel"/>
    <w:tmpl w:val="2D16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5E9"/>
    <w:multiLevelType w:val="multilevel"/>
    <w:tmpl w:val="C4F6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E2B"/>
    <w:multiLevelType w:val="hybridMultilevel"/>
    <w:tmpl w:val="C4F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06A4"/>
    <w:multiLevelType w:val="hybridMultilevel"/>
    <w:tmpl w:val="06BEE826"/>
    <w:lvl w:ilvl="0" w:tplc="104A602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2527"/>
    <w:multiLevelType w:val="multilevel"/>
    <w:tmpl w:val="2D160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BB8"/>
    <w:multiLevelType w:val="hybridMultilevel"/>
    <w:tmpl w:val="3D5AF9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B3DE7"/>
    <w:multiLevelType w:val="hybridMultilevel"/>
    <w:tmpl w:val="1F3A64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867F3"/>
    <w:multiLevelType w:val="hybridMultilevel"/>
    <w:tmpl w:val="DAA6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73FE1"/>
    <w:multiLevelType w:val="hybridMultilevel"/>
    <w:tmpl w:val="CD76AB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7"/>
    <w:rsid w:val="00001A74"/>
    <w:rsid w:val="00005A8D"/>
    <w:rsid w:val="00034F41"/>
    <w:rsid w:val="00037C65"/>
    <w:rsid w:val="0007470C"/>
    <w:rsid w:val="000B6650"/>
    <w:rsid w:val="000C3033"/>
    <w:rsid w:val="000E01FB"/>
    <w:rsid w:val="000E7AE6"/>
    <w:rsid w:val="000F6663"/>
    <w:rsid w:val="001142D4"/>
    <w:rsid w:val="00121C54"/>
    <w:rsid w:val="001347A8"/>
    <w:rsid w:val="0017147B"/>
    <w:rsid w:val="001C3997"/>
    <w:rsid w:val="0020051C"/>
    <w:rsid w:val="0021508D"/>
    <w:rsid w:val="00217A10"/>
    <w:rsid w:val="00232C79"/>
    <w:rsid w:val="00235CA5"/>
    <w:rsid w:val="00246AA4"/>
    <w:rsid w:val="00286FAD"/>
    <w:rsid w:val="002929B7"/>
    <w:rsid w:val="002C24DF"/>
    <w:rsid w:val="002D3DDB"/>
    <w:rsid w:val="003225FC"/>
    <w:rsid w:val="003946C0"/>
    <w:rsid w:val="003B6AB9"/>
    <w:rsid w:val="0041547B"/>
    <w:rsid w:val="0048570E"/>
    <w:rsid w:val="004B1C33"/>
    <w:rsid w:val="00507F46"/>
    <w:rsid w:val="005247B2"/>
    <w:rsid w:val="005519E5"/>
    <w:rsid w:val="005575E4"/>
    <w:rsid w:val="00562559"/>
    <w:rsid w:val="005C5ADA"/>
    <w:rsid w:val="005D6222"/>
    <w:rsid w:val="00606AF8"/>
    <w:rsid w:val="006129DE"/>
    <w:rsid w:val="00630AAB"/>
    <w:rsid w:val="00632B3A"/>
    <w:rsid w:val="006563E3"/>
    <w:rsid w:val="00697231"/>
    <w:rsid w:val="006C522C"/>
    <w:rsid w:val="006D3319"/>
    <w:rsid w:val="006E6D68"/>
    <w:rsid w:val="007058EB"/>
    <w:rsid w:val="0071137C"/>
    <w:rsid w:val="00713BC9"/>
    <w:rsid w:val="00760078"/>
    <w:rsid w:val="00766C38"/>
    <w:rsid w:val="00767BF7"/>
    <w:rsid w:val="00773744"/>
    <w:rsid w:val="00781478"/>
    <w:rsid w:val="007921E7"/>
    <w:rsid w:val="007A0551"/>
    <w:rsid w:val="007B48F3"/>
    <w:rsid w:val="007C4FE5"/>
    <w:rsid w:val="00814937"/>
    <w:rsid w:val="008610DF"/>
    <w:rsid w:val="008867E8"/>
    <w:rsid w:val="008B4347"/>
    <w:rsid w:val="00933665"/>
    <w:rsid w:val="009468B9"/>
    <w:rsid w:val="009E7486"/>
    <w:rsid w:val="00A05601"/>
    <w:rsid w:val="00A245ED"/>
    <w:rsid w:val="00A61AFD"/>
    <w:rsid w:val="00A87597"/>
    <w:rsid w:val="00AA39E9"/>
    <w:rsid w:val="00AF1AE3"/>
    <w:rsid w:val="00B06F32"/>
    <w:rsid w:val="00B303C9"/>
    <w:rsid w:val="00B3636F"/>
    <w:rsid w:val="00B5104C"/>
    <w:rsid w:val="00B65A01"/>
    <w:rsid w:val="00B8700E"/>
    <w:rsid w:val="00BA4292"/>
    <w:rsid w:val="00C05C7C"/>
    <w:rsid w:val="00C216A8"/>
    <w:rsid w:val="00C60901"/>
    <w:rsid w:val="00C9568D"/>
    <w:rsid w:val="00DD224E"/>
    <w:rsid w:val="00E167FA"/>
    <w:rsid w:val="00E257DB"/>
    <w:rsid w:val="00E427C1"/>
    <w:rsid w:val="00E46D97"/>
    <w:rsid w:val="00E948BB"/>
    <w:rsid w:val="00EF61E0"/>
    <w:rsid w:val="00F217FC"/>
    <w:rsid w:val="00F33618"/>
    <w:rsid w:val="00F92A08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FB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E2D67E-8708-F44F-91EC-B950B01D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3</cp:revision>
  <cp:lastPrinted>2014-01-17T14:40:00Z</cp:lastPrinted>
  <dcterms:created xsi:type="dcterms:W3CDTF">2014-07-03T11:15:00Z</dcterms:created>
  <dcterms:modified xsi:type="dcterms:W3CDTF">2014-07-03T11:20:00Z</dcterms:modified>
</cp:coreProperties>
</file>