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5431"/>
      </w:tblGrid>
      <w:tr w:rsidR="005019CB" w:rsidRPr="008F43BA" w14:paraId="536AA7D9" w14:textId="77777777" w:rsidTr="005019CB">
        <w:tc>
          <w:tcPr>
            <w:tcW w:w="3085" w:type="dxa"/>
          </w:tcPr>
          <w:p w14:paraId="1C99D75C" w14:textId="20B4C28D" w:rsidR="005019CB" w:rsidRPr="008F43BA" w:rsidRDefault="00F11450" w:rsidP="00DA2D03">
            <w:pPr>
              <w:rPr>
                <w:b/>
              </w:rPr>
            </w:pPr>
            <w:r>
              <w:rPr>
                <w:b/>
              </w:rPr>
              <w:t>Module</w:t>
            </w:r>
          </w:p>
        </w:tc>
        <w:tc>
          <w:tcPr>
            <w:tcW w:w="5431" w:type="dxa"/>
          </w:tcPr>
          <w:p w14:paraId="54E795CC" w14:textId="71694C34" w:rsidR="005019CB" w:rsidRPr="008F43BA" w:rsidRDefault="00E51B77" w:rsidP="00DA2D03">
            <w:r>
              <w:t>Anticoagulation management: patient’s guide to self-monitoring</w:t>
            </w:r>
            <w:bookmarkStart w:id="0" w:name="_GoBack"/>
            <w:bookmarkEnd w:id="0"/>
          </w:p>
        </w:tc>
      </w:tr>
      <w:tr w:rsidR="005019CB" w:rsidRPr="008F43BA" w14:paraId="65AD4D23" w14:textId="77777777" w:rsidTr="005019CB">
        <w:tc>
          <w:tcPr>
            <w:tcW w:w="3085" w:type="dxa"/>
          </w:tcPr>
          <w:p w14:paraId="3DB60986" w14:textId="2731130E" w:rsidR="005019CB" w:rsidRPr="008F43BA" w:rsidRDefault="00F11450" w:rsidP="00DA2D03">
            <w:pPr>
              <w:rPr>
                <w:b/>
              </w:rPr>
            </w:pPr>
            <w:r w:rsidRPr="008F43BA">
              <w:rPr>
                <w:b/>
              </w:rPr>
              <w:t>Topic</w:t>
            </w:r>
          </w:p>
        </w:tc>
        <w:tc>
          <w:tcPr>
            <w:tcW w:w="5431" w:type="dxa"/>
          </w:tcPr>
          <w:p w14:paraId="0B981D6B" w14:textId="36A13B32" w:rsidR="005019CB" w:rsidRPr="008F43BA" w:rsidRDefault="005019CB" w:rsidP="00DA2D03">
            <w:r w:rsidRPr="008F43BA">
              <w:t>Patient self-testing in practice</w:t>
            </w:r>
          </w:p>
        </w:tc>
      </w:tr>
      <w:tr w:rsidR="005019CB" w:rsidRPr="008F43BA" w14:paraId="5C18B36D" w14:textId="77777777" w:rsidTr="005019CB">
        <w:tc>
          <w:tcPr>
            <w:tcW w:w="3085" w:type="dxa"/>
          </w:tcPr>
          <w:p w14:paraId="44752B8E" w14:textId="77777777" w:rsidR="005019CB" w:rsidRPr="008F43BA" w:rsidRDefault="005019CB" w:rsidP="00DA2D03">
            <w:pPr>
              <w:rPr>
                <w:b/>
              </w:rPr>
            </w:pPr>
            <w:r w:rsidRPr="008F43BA">
              <w:rPr>
                <w:b/>
              </w:rPr>
              <w:t>Content</w:t>
            </w:r>
          </w:p>
        </w:tc>
        <w:tc>
          <w:tcPr>
            <w:tcW w:w="5431" w:type="dxa"/>
          </w:tcPr>
          <w:p w14:paraId="5E14B961" w14:textId="23E92CE2" w:rsidR="005019CB" w:rsidRPr="008F43BA" w:rsidRDefault="005019CB" w:rsidP="00FC191A">
            <w:r w:rsidRPr="008F43BA">
              <w:t>Extra content</w:t>
            </w:r>
            <w:r w:rsidR="00DA2D03" w:rsidRPr="008F43BA">
              <w:t xml:space="preserve"> – </w:t>
            </w:r>
            <w:r w:rsidR="00FC191A" w:rsidRPr="008F43BA">
              <w:t>PST procedure</w:t>
            </w:r>
          </w:p>
        </w:tc>
      </w:tr>
      <w:tr w:rsidR="005019CB" w:rsidRPr="008F43BA" w14:paraId="55C22E00" w14:textId="77777777" w:rsidTr="005019CB">
        <w:tc>
          <w:tcPr>
            <w:tcW w:w="3085" w:type="dxa"/>
          </w:tcPr>
          <w:p w14:paraId="3AA839BC" w14:textId="77777777" w:rsidR="005019CB" w:rsidRPr="008F43BA" w:rsidRDefault="005019CB" w:rsidP="00DA2D03">
            <w:pPr>
              <w:rPr>
                <w:b/>
              </w:rPr>
            </w:pPr>
            <w:r w:rsidRPr="008F43BA">
              <w:rPr>
                <w:b/>
              </w:rPr>
              <w:t>Audience</w:t>
            </w:r>
          </w:p>
        </w:tc>
        <w:tc>
          <w:tcPr>
            <w:tcW w:w="5431" w:type="dxa"/>
          </w:tcPr>
          <w:p w14:paraId="62BBB2AB" w14:textId="6268BB50" w:rsidR="005019CB" w:rsidRPr="008F43BA" w:rsidRDefault="005019CB" w:rsidP="00DA2D03">
            <w:r w:rsidRPr="008F43BA">
              <w:t>Self-monitoring warfarin patient / HCP</w:t>
            </w:r>
          </w:p>
        </w:tc>
      </w:tr>
      <w:tr w:rsidR="005019CB" w:rsidRPr="008F43BA" w14:paraId="14C41A94" w14:textId="77777777" w:rsidTr="005019CB">
        <w:tc>
          <w:tcPr>
            <w:tcW w:w="3085" w:type="dxa"/>
          </w:tcPr>
          <w:p w14:paraId="156B94B6" w14:textId="77777777" w:rsidR="005019CB" w:rsidRPr="008F43BA" w:rsidRDefault="005019CB" w:rsidP="00DA2D03">
            <w:pPr>
              <w:rPr>
                <w:b/>
              </w:rPr>
            </w:pPr>
            <w:r w:rsidRPr="008F43BA">
              <w:rPr>
                <w:b/>
              </w:rPr>
              <w:t>Version</w:t>
            </w:r>
          </w:p>
        </w:tc>
        <w:tc>
          <w:tcPr>
            <w:tcW w:w="5431" w:type="dxa"/>
          </w:tcPr>
          <w:p w14:paraId="5B34D45F" w14:textId="13F209B1" w:rsidR="005019CB" w:rsidRPr="008F43BA" w:rsidRDefault="00252D1F" w:rsidP="00DA2D03">
            <w:r>
              <w:t>3</w:t>
            </w:r>
          </w:p>
        </w:tc>
      </w:tr>
    </w:tbl>
    <w:p w14:paraId="2AD0A04A" w14:textId="77777777" w:rsidR="00DA2D03" w:rsidRPr="008F43BA" w:rsidRDefault="00DA2D03" w:rsidP="00DA2D03">
      <w:pPr>
        <w:rPr>
          <w:b/>
          <w:u w:val="single"/>
        </w:rPr>
      </w:pPr>
    </w:p>
    <w:p w14:paraId="4A7A3D42" w14:textId="77777777" w:rsidR="008F43BA" w:rsidRPr="008F43BA" w:rsidRDefault="008F43BA" w:rsidP="00DA2D03">
      <w:pPr>
        <w:rPr>
          <w:b/>
          <w:u w:val="single"/>
        </w:rPr>
      </w:pPr>
    </w:p>
    <w:p w14:paraId="4E8CF9C6" w14:textId="4F63BA4F" w:rsidR="008F43BA" w:rsidRPr="008F43BA" w:rsidRDefault="008F43BA" w:rsidP="00DA2D03">
      <w:pPr>
        <w:rPr>
          <w:b/>
        </w:rPr>
      </w:pPr>
      <w:r w:rsidRPr="008F43BA">
        <w:rPr>
          <w:b/>
        </w:rPr>
        <w:t>An example of a self-testing clinic procedure</w:t>
      </w:r>
    </w:p>
    <w:p w14:paraId="1156F0E2" w14:textId="77777777" w:rsidR="008F43BA" w:rsidRPr="008F43BA" w:rsidRDefault="008F43BA" w:rsidP="00DA2D03">
      <w:pPr>
        <w:rPr>
          <w:b/>
          <w:u w:val="single"/>
        </w:rPr>
      </w:pPr>
    </w:p>
    <w:p w14:paraId="7278E9AE" w14:textId="77777777" w:rsidR="00FC191A" w:rsidRPr="008F43BA" w:rsidRDefault="00FC191A" w:rsidP="00FC191A">
      <w:r w:rsidRPr="008F43BA">
        <w:t>Below is an example of a clinic procedure for self-testing. Elements of this may vary according to local practice. Please check with your anticoagulant practitioner.</w:t>
      </w:r>
    </w:p>
    <w:p w14:paraId="3E7F6A00" w14:textId="77777777" w:rsidR="00FC191A" w:rsidRPr="008F43BA" w:rsidRDefault="00FC191A" w:rsidP="00FC191A"/>
    <w:p w14:paraId="6EA1E788" w14:textId="23A9A72F" w:rsidR="00FC191A" w:rsidRPr="008F43BA" w:rsidRDefault="00FC191A" w:rsidP="00120E8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rPr>
          <w:rFonts w:cs="Arial"/>
        </w:rPr>
        <w:t xml:space="preserve">The person measures their INR using their coagulometer in the morning of the agreed date of the INR test. </w:t>
      </w:r>
    </w:p>
    <w:p w14:paraId="543C317C" w14:textId="4B3C009D" w:rsidR="00FC191A" w:rsidRPr="008F43BA" w:rsidRDefault="00FC191A" w:rsidP="00120E8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>The person then phones the clinic with their INR reading before 1pm on the same day. If there is not anyone available to take the call they should or le</w:t>
      </w:r>
      <w:r w:rsidR="00120E82" w:rsidRPr="008F43BA">
        <w:t xml:space="preserve">ave their name, date of birth, </w:t>
      </w:r>
      <w:r w:rsidRPr="008F43BA">
        <w:t xml:space="preserve">contact number and INR result on the answer machine.  </w:t>
      </w:r>
    </w:p>
    <w:p w14:paraId="24433D3D" w14:textId="77777777" w:rsidR="00FC191A" w:rsidRPr="008F43BA" w:rsidRDefault="00FC191A" w:rsidP="00120E8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>The INR tests should not be done on a weekend unless arranged specifically with a member of the anticoagulation team.</w:t>
      </w:r>
    </w:p>
    <w:p w14:paraId="429102CF" w14:textId="363E6823" w:rsidR="00FC191A" w:rsidRPr="008F43BA" w:rsidRDefault="00FC191A" w:rsidP="00120E8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>The person should also report</w:t>
      </w:r>
      <w:r w:rsidR="00252D1F">
        <w:t xml:space="preserve"> the following to the anticoagulant clinic</w:t>
      </w:r>
      <w:r w:rsidRPr="008F43BA">
        <w:t>:</w:t>
      </w:r>
    </w:p>
    <w:p w14:paraId="50259B23" w14:textId="77777777" w:rsidR="00FC191A" w:rsidRPr="008F43BA" w:rsidRDefault="00FC191A" w:rsidP="00120E82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>Bleeding episodes</w:t>
      </w:r>
    </w:p>
    <w:p w14:paraId="4DBD62AF" w14:textId="77777777" w:rsidR="00FC191A" w:rsidRPr="008F43BA" w:rsidRDefault="00FC191A" w:rsidP="00120E82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>Excessive or unexplained bruising</w:t>
      </w:r>
    </w:p>
    <w:p w14:paraId="757FACA9" w14:textId="77777777" w:rsidR="00FC191A" w:rsidRPr="008F43BA" w:rsidRDefault="00FC191A" w:rsidP="00120E82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>Change in medication / diet / alcohol intake / herbal remedies</w:t>
      </w:r>
    </w:p>
    <w:p w14:paraId="3E0FCE79" w14:textId="77777777" w:rsidR="00FC191A" w:rsidRPr="008F43BA" w:rsidRDefault="00FC191A" w:rsidP="00120E82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>Missed doses of anticoagulants</w:t>
      </w:r>
    </w:p>
    <w:p w14:paraId="7F70D431" w14:textId="77777777" w:rsidR="00FC191A" w:rsidRPr="008F43BA" w:rsidRDefault="00FC191A" w:rsidP="00120E82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 xml:space="preserve">If unwell, diarrhoea or vomiting </w:t>
      </w:r>
    </w:p>
    <w:p w14:paraId="26894CA5" w14:textId="77777777" w:rsidR="00FC191A" w:rsidRPr="008F43BA" w:rsidRDefault="00FC191A" w:rsidP="00120E82">
      <w:pPr>
        <w:pStyle w:val="ListParagraph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>Recent hospital admission</w:t>
      </w:r>
    </w:p>
    <w:p w14:paraId="7C4E1EB2" w14:textId="6170B3C2" w:rsidR="00FC191A" w:rsidRDefault="00FC191A" w:rsidP="00120E8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 xml:space="preserve">The pharmacist/nurse specialist will </w:t>
      </w:r>
      <w:r w:rsidR="00156322">
        <w:t>review the INR on</w:t>
      </w:r>
      <w:r w:rsidRPr="008F43BA">
        <w:t xml:space="preserve"> the same day</w:t>
      </w:r>
      <w:r w:rsidR="00120E82" w:rsidRPr="008F43BA">
        <w:t xml:space="preserve">. </w:t>
      </w:r>
      <w:r w:rsidR="00156322">
        <w:t>Dosing</w:t>
      </w:r>
      <w:r w:rsidR="00120E82" w:rsidRPr="008F43BA">
        <w:t xml:space="preserve"> </w:t>
      </w:r>
      <w:r w:rsidRPr="008F43BA">
        <w:t xml:space="preserve">advice will be </w:t>
      </w:r>
      <w:r w:rsidR="00156322">
        <w:t>provided</w:t>
      </w:r>
      <w:r w:rsidRPr="008F43BA">
        <w:t xml:space="preserve"> in writing, which will be posted first class to the p</w:t>
      </w:r>
      <w:r w:rsidR="00120E82" w:rsidRPr="008F43BA">
        <w:t xml:space="preserve">erson </w:t>
      </w:r>
      <w:r w:rsidRPr="008F43BA">
        <w:t>the same day. This should arrive within 3 working days. The p</w:t>
      </w:r>
      <w:r w:rsidR="00120E82" w:rsidRPr="008F43BA">
        <w:t>erson</w:t>
      </w:r>
      <w:r w:rsidRPr="008F43BA">
        <w:t xml:space="preserve"> will be contacted by telephone if there is a dosage change. </w:t>
      </w:r>
    </w:p>
    <w:p w14:paraId="60951752" w14:textId="4CC66940" w:rsidR="00156322" w:rsidRPr="008F43BA" w:rsidRDefault="00156322" w:rsidP="00120E8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the </w:t>
      </w:r>
      <w:r w:rsidRPr="008F43BA">
        <w:t>pharmacist/nurse specialist</w:t>
      </w:r>
      <w:r>
        <w:t xml:space="preserve"> does </w:t>
      </w:r>
      <w:r w:rsidRPr="00156322">
        <w:rPr>
          <w:b/>
        </w:rPr>
        <w:t xml:space="preserve">not </w:t>
      </w:r>
      <w:r>
        <w:t>telephone with dosing advice on the same day, the person should remain on the same dose</w:t>
      </w:r>
    </w:p>
    <w:p w14:paraId="5BFC7AD0" w14:textId="3BAD15B5" w:rsidR="00FC191A" w:rsidRPr="008F43BA" w:rsidRDefault="00120E82" w:rsidP="00120E8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 xml:space="preserve">If the </w:t>
      </w:r>
      <w:r w:rsidR="00FC191A" w:rsidRPr="008F43BA">
        <w:t>INR is below 1.5 or above 5, the test should be repeated.</w:t>
      </w:r>
      <w:r w:rsidR="00156322">
        <w:t xml:space="preserve"> Both readings should be provided to the anticoagulant clinic.</w:t>
      </w:r>
    </w:p>
    <w:p w14:paraId="000069FD" w14:textId="3EC2A87C" w:rsidR="00FC191A" w:rsidRPr="008F43BA" w:rsidRDefault="00FC191A" w:rsidP="00120E8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 xml:space="preserve">If the INR is below 1.8 and the person has a mechanical heart valve, </w:t>
      </w:r>
      <w:r w:rsidR="00156322">
        <w:t xml:space="preserve">they should </w:t>
      </w:r>
      <w:r w:rsidR="00156322" w:rsidRPr="008F43BA">
        <w:t xml:space="preserve">ring the clinic </w:t>
      </w:r>
      <w:r w:rsidR="00156322">
        <w:t xml:space="preserve">and speak </w:t>
      </w:r>
      <w:r w:rsidRPr="008F43BA">
        <w:t>to the anticoagulation practitioner</w:t>
      </w:r>
      <w:r w:rsidR="00156322">
        <w:t xml:space="preserve">. </w:t>
      </w:r>
      <w:r w:rsidRPr="008F43BA">
        <w:t xml:space="preserve"> </w:t>
      </w:r>
    </w:p>
    <w:p w14:paraId="2AEEBC05" w14:textId="637FA77B" w:rsidR="00FC191A" w:rsidRPr="008F43BA" w:rsidRDefault="00FC191A" w:rsidP="00120E82">
      <w:pPr>
        <w:pStyle w:val="ListParagraph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F43BA">
        <w:t>If INR is above 8, un-recordable and/or the person experiences bleeding episodes they should ring the clinic for advice. A venous sample will be arranged the same day.</w:t>
      </w:r>
    </w:p>
    <w:p w14:paraId="2A4A28B0" w14:textId="6D90AA8D" w:rsidR="00FC191A" w:rsidRPr="008F43BA" w:rsidRDefault="00120E82" w:rsidP="00FC191A">
      <w:pPr>
        <w:rPr>
          <w:b/>
          <w:sz w:val="20"/>
          <w:szCs w:val="20"/>
        </w:rPr>
      </w:pPr>
      <w:r w:rsidRPr="008F43BA">
        <w:rPr>
          <w:b/>
        </w:rPr>
        <w:t xml:space="preserve">             </w:t>
      </w:r>
      <w:r w:rsidRPr="008F43BA">
        <w:rPr>
          <w:b/>
          <w:sz w:val="20"/>
          <w:szCs w:val="20"/>
        </w:rPr>
        <w:t>Example of a procedure for INR self-testing service</w:t>
      </w:r>
    </w:p>
    <w:p w14:paraId="644E4345" w14:textId="77777777" w:rsidR="00FC191A" w:rsidRPr="008F43BA" w:rsidRDefault="00FC191A" w:rsidP="00DA2D03">
      <w:pPr>
        <w:rPr>
          <w:b/>
          <w:u w:val="single"/>
        </w:rPr>
      </w:pPr>
    </w:p>
    <w:p w14:paraId="61C2BE90" w14:textId="77777777" w:rsidR="008F43BA" w:rsidRPr="008F43BA" w:rsidRDefault="008F43BA" w:rsidP="00DA2D03">
      <w:pPr>
        <w:rPr>
          <w:b/>
          <w:u w:val="single"/>
        </w:rPr>
      </w:pPr>
    </w:p>
    <w:p w14:paraId="4E57466C" w14:textId="77777777" w:rsidR="008F43BA" w:rsidRPr="008F43BA" w:rsidRDefault="008F43BA">
      <w:pPr>
        <w:rPr>
          <w:b/>
          <w:u w:val="single"/>
        </w:rPr>
      </w:pPr>
      <w:r w:rsidRPr="008F43BA">
        <w:rPr>
          <w:b/>
          <w:u w:val="single"/>
        </w:rPr>
        <w:br w:type="page"/>
      </w:r>
    </w:p>
    <w:p w14:paraId="07157461" w14:textId="6278C62B" w:rsidR="008F43BA" w:rsidRPr="008F43BA" w:rsidRDefault="008F43BA" w:rsidP="00DA2D03">
      <w:pPr>
        <w:rPr>
          <w:b/>
        </w:rPr>
      </w:pPr>
      <w:r w:rsidRPr="008F43BA">
        <w:rPr>
          <w:b/>
        </w:rPr>
        <w:lastRenderedPageBreak/>
        <w:t>Which questions will you be asked when you let the clinic know your INR test?</w:t>
      </w:r>
    </w:p>
    <w:p w14:paraId="5D1E6D73" w14:textId="77777777" w:rsidR="008F43BA" w:rsidRPr="008F43BA" w:rsidRDefault="008F43BA" w:rsidP="00DA2D03">
      <w:pPr>
        <w:rPr>
          <w:b/>
          <w:u w:val="single"/>
        </w:rPr>
      </w:pPr>
    </w:p>
    <w:p w14:paraId="603CC9B3" w14:textId="427BA6F2" w:rsidR="008F43BA" w:rsidRPr="008F43BA" w:rsidRDefault="008F43BA" w:rsidP="008F43BA">
      <w:pPr>
        <w:pStyle w:val="BodyText"/>
      </w:pPr>
      <w:r w:rsidRPr="008F43BA">
        <w:t xml:space="preserve">Your anticoagulant practitioner may ask some or all of the following questions when </w:t>
      </w:r>
      <w:r>
        <w:t>contact</w:t>
      </w:r>
      <w:r w:rsidRPr="008F43BA">
        <w:t xml:space="preserve"> them </w:t>
      </w:r>
      <w:r>
        <w:t xml:space="preserve">with </w:t>
      </w:r>
      <w:r w:rsidRPr="008F43BA">
        <w:t xml:space="preserve">your INR result. </w:t>
      </w:r>
    </w:p>
    <w:p w14:paraId="1712BA69" w14:textId="77777777" w:rsidR="008F43BA" w:rsidRPr="008F43BA" w:rsidRDefault="008F43BA" w:rsidP="008F43BA">
      <w:pPr>
        <w:pStyle w:val="BodyText"/>
      </w:pPr>
    </w:p>
    <w:p w14:paraId="44861494" w14:textId="1D5A46FD" w:rsidR="008F43BA" w:rsidRPr="008F43BA" w:rsidRDefault="0000441D" w:rsidP="008F43BA">
      <w:pPr>
        <w:pStyle w:val="BodyText"/>
        <w:numPr>
          <w:ilvl w:val="0"/>
          <w:numId w:val="10"/>
        </w:numPr>
      </w:pPr>
      <w:r>
        <w:t>What dose of w</w:t>
      </w:r>
      <w:r w:rsidR="008F43BA" w:rsidRPr="008F43BA">
        <w:t>arfain are you taking?</w:t>
      </w:r>
    </w:p>
    <w:p w14:paraId="3CBE5889" w14:textId="77777777" w:rsidR="008F43BA" w:rsidRPr="008F43BA" w:rsidRDefault="008F43BA" w:rsidP="008F43BA">
      <w:pPr>
        <w:pStyle w:val="BodyText"/>
      </w:pPr>
    </w:p>
    <w:p w14:paraId="6D5747EC" w14:textId="77777777" w:rsidR="008F43BA" w:rsidRPr="008F43BA" w:rsidRDefault="008F43BA" w:rsidP="008F43BA">
      <w:pPr>
        <w:pStyle w:val="BodyText"/>
        <w:numPr>
          <w:ilvl w:val="0"/>
          <w:numId w:val="10"/>
        </w:numPr>
      </w:pPr>
      <w:r w:rsidRPr="008F43BA">
        <w:t xml:space="preserve">Have you missed any tablets in the last two weeks? </w:t>
      </w:r>
    </w:p>
    <w:p w14:paraId="486F25DD" w14:textId="240FD71E" w:rsidR="008F43BA" w:rsidRPr="008F43BA" w:rsidRDefault="008F43BA" w:rsidP="008F43BA">
      <w:pPr>
        <w:pStyle w:val="BodyText"/>
      </w:pPr>
      <w:r w:rsidRPr="008F43BA">
        <w:t xml:space="preserve">      If yes, when and how many doses?</w:t>
      </w:r>
    </w:p>
    <w:p w14:paraId="5823AB89" w14:textId="77777777" w:rsidR="008F43BA" w:rsidRPr="008F43BA" w:rsidRDefault="008F43BA" w:rsidP="008F43BA">
      <w:pPr>
        <w:pStyle w:val="BodyText"/>
      </w:pPr>
    </w:p>
    <w:p w14:paraId="6B7883E7" w14:textId="132DD1F2" w:rsidR="008F43BA" w:rsidRPr="008F43BA" w:rsidRDefault="008F43BA" w:rsidP="008F43BA">
      <w:pPr>
        <w:pStyle w:val="BodyText"/>
        <w:numPr>
          <w:ilvl w:val="0"/>
          <w:numId w:val="10"/>
        </w:numPr>
      </w:pPr>
      <w:r w:rsidRPr="008F43BA">
        <w:t>Has your doctor started or stopped any medication</w:t>
      </w:r>
      <w:r w:rsidR="00252D1F">
        <w:t>(including antibiotics)</w:t>
      </w:r>
      <w:r w:rsidRPr="008F43BA">
        <w:t xml:space="preserve"> recently? </w:t>
      </w:r>
    </w:p>
    <w:p w14:paraId="09692CA8" w14:textId="5C6DA390" w:rsidR="008F43BA" w:rsidRPr="008F43BA" w:rsidRDefault="008F43BA" w:rsidP="008F43BA">
      <w:pPr>
        <w:pStyle w:val="BodyText"/>
      </w:pPr>
      <w:r>
        <w:t xml:space="preserve">       </w:t>
      </w:r>
      <w:r w:rsidRPr="008F43BA">
        <w:t xml:space="preserve">If yes, what has been started or stopped and when? </w:t>
      </w:r>
    </w:p>
    <w:p w14:paraId="75B9274F" w14:textId="77777777" w:rsidR="008F43BA" w:rsidRPr="008F43BA" w:rsidRDefault="008F43BA" w:rsidP="008F43BA">
      <w:pPr>
        <w:pStyle w:val="BodyText"/>
      </w:pPr>
    </w:p>
    <w:p w14:paraId="5891B5CA" w14:textId="3ACCC474" w:rsidR="008F43BA" w:rsidRPr="008F43BA" w:rsidRDefault="008F43BA" w:rsidP="008F43BA">
      <w:pPr>
        <w:pStyle w:val="BodyText"/>
        <w:numPr>
          <w:ilvl w:val="0"/>
          <w:numId w:val="10"/>
        </w:numPr>
      </w:pPr>
      <w:r w:rsidRPr="008F43BA">
        <w:t xml:space="preserve">Have been feeling unwell in the last 2 weeks i.e. cold, diarrhoea? </w:t>
      </w:r>
    </w:p>
    <w:p w14:paraId="5C996437" w14:textId="77777777" w:rsidR="008F43BA" w:rsidRPr="008F43BA" w:rsidRDefault="008F43BA" w:rsidP="008F43BA">
      <w:pPr>
        <w:pStyle w:val="BodyText"/>
      </w:pPr>
    </w:p>
    <w:p w14:paraId="68F7ECE2" w14:textId="77777777" w:rsidR="008F43BA" w:rsidRPr="008F43BA" w:rsidRDefault="008F43BA" w:rsidP="008F43BA">
      <w:pPr>
        <w:pStyle w:val="BodyText"/>
        <w:numPr>
          <w:ilvl w:val="0"/>
          <w:numId w:val="10"/>
        </w:numPr>
      </w:pPr>
      <w:r w:rsidRPr="008F43BA">
        <w:t>Have you experienced any worsening in bruising or bleeding in the last two weeks?</w:t>
      </w:r>
    </w:p>
    <w:p w14:paraId="75009626" w14:textId="77777777" w:rsidR="008F43BA" w:rsidRPr="008F43BA" w:rsidRDefault="008F43BA" w:rsidP="008F43BA">
      <w:pPr>
        <w:pStyle w:val="BodyText"/>
      </w:pPr>
    </w:p>
    <w:p w14:paraId="328D16FB" w14:textId="5AE3E264" w:rsidR="008F43BA" w:rsidRPr="008F43BA" w:rsidRDefault="008F43BA" w:rsidP="008F43BA">
      <w:pPr>
        <w:pStyle w:val="BodyText"/>
        <w:numPr>
          <w:ilvl w:val="0"/>
          <w:numId w:val="10"/>
        </w:numPr>
      </w:pPr>
      <w:r w:rsidRPr="008F43BA">
        <w:t>Have you consumed any more than 2 units of alcohol (1 pint of bitter</w:t>
      </w:r>
      <w:r w:rsidR="00156322">
        <w:t>, or</w:t>
      </w:r>
      <w:r w:rsidRPr="008F43BA">
        <w:t xml:space="preserve"> 2 glasses of wine</w:t>
      </w:r>
      <w:r w:rsidR="00156322">
        <w:t xml:space="preserve">, or </w:t>
      </w:r>
      <w:r w:rsidRPr="008F43BA">
        <w:t>2 pub measures of spirit) in a day in the last 2 weeks?</w:t>
      </w:r>
    </w:p>
    <w:p w14:paraId="69B779AA" w14:textId="03A6762A" w:rsidR="008F43BA" w:rsidRPr="008F43BA" w:rsidRDefault="008F43BA" w:rsidP="008F43BA">
      <w:pPr>
        <w:pStyle w:val="BodyText"/>
      </w:pPr>
      <w:r w:rsidRPr="008F43BA">
        <w:t xml:space="preserve">       If yes, when and how many alcohol drinks did you have?</w:t>
      </w:r>
    </w:p>
    <w:sectPr w:rsidR="008F43BA" w:rsidRPr="008F43BA" w:rsidSect="00A245E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C6B7B"/>
    <w:multiLevelType w:val="hybridMultilevel"/>
    <w:tmpl w:val="8176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A62DA8"/>
    <w:multiLevelType w:val="multilevel"/>
    <w:tmpl w:val="DAD84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4820"/>
    <w:multiLevelType w:val="hybridMultilevel"/>
    <w:tmpl w:val="836A1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61AE5"/>
    <w:multiLevelType w:val="hybridMultilevel"/>
    <w:tmpl w:val="022E02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81CE3"/>
    <w:multiLevelType w:val="hybridMultilevel"/>
    <w:tmpl w:val="A8A406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93FF5"/>
    <w:multiLevelType w:val="hybridMultilevel"/>
    <w:tmpl w:val="AA0AE768"/>
    <w:lvl w:ilvl="0" w:tplc="FC62D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D754EFF"/>
    <w:multiLevelType w:val="hybridMultilevel"/>
    <w:tmpl w:val="9446C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3712D"/>
    <w:multiLevelType w:val="hybridMultilevel"/>
    <w:tmpl w:val="15B66B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530528"/>
    <w:multiLevelType w:val="hybridMultilevel"/>
    <w:tmpl w:val="DAD84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3B5226"/>
    <w:multiLevelType w:val="multilevel"/>
    <w:tmpl w:val="D2B88204"/>
    <w:lvl w:ilvl="0">
      <w:start w:val="1"/>
      <w:numFmt w:val="decimal"/>
      <w:lvlText w:val="%1.0"/>
      <w:lvlJc w:val="righ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/>
      </w:rPr>
    </w:lvl>
  </w:abstractNum>
  <w:abstractNum w:abstractNumId="10">
    <w:nsid w:val="76642D31"/>
    <w:multiLevelType w:val="hybridMultilevel"/>
    <w:tmpl w:val="F75C0C44"/>
    <w:lvl w:ilvl="0" w:tplc="04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06"/>
    <w:rsid w:val="0000441D"/>
    <w:rsid w:val="00027F54"/>
    <w:rsid w:val="00120E82"/>
    <w:rsid w:val="00156322"/>
    <w:rsid w:val="00252D1F"/>
    <w:rsid w:val="00263A18"/>
    <w:rsid w:val="00274B32"/>
    <w:rsid w:val="002C4A87"/>
    <w:rsid w:val="00357A30"/>
    <w:rsid w:val="00435922"/>
    <w:rsid w:val="0045098D"/>
    <w:rsid w:val="005019CB"/>
    <w:rsid w:val="00725E12"/>
    <w:rsid w:val="00762186"/>
    <w:rsid w:val="007F7C06"/>
    <w:rsid w:val="008D281A"/>
    <w:rsid w:val="008F43BA"/>
    <w:rsid w:val="00A245ED"/>
    <w:rsid w:val="00DA2D03"/>
    <w:rsid w:val="00E51B77"/>
    <w:rsid w:val="00F11450"/>
    <w:rsid w:val="00FC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0D9AB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F7C06"/>
    <w:pPr>
      <w:ind w:left="720"/>
      <w:contextualSpacing/>
    </w:pPr>
  </w:style>
  <w:style w:type="paragraph" w:styleId="Header">
    <w:name w:val="header"/>
    <w:basedOn w:val="Normal"/>
    <w:link w:val="HeaderChar"/>
    <w:rsid w:val="00263A1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263A18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1"/>
    <w:autoRedefine/>
    <w:rsid w:val="008F43BA"/>
    <w:rPr>
      <w:rFonts w:eastAsia="Times New Roman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263A18"/>
  </w:style>
  <w:style w:type="paragraph" w:styleId="Caption">
    <w:name w:val="caption"/>
    <w:basedOn w:val="Normal"/>
    <w:next w:val="Normal"/>
    <w:qFormat/>
    <w:rsid w:val="00263A18"/>
    <w:rPr>
      <w:rFonts w:ascii="Times New Roman" w:eastAsia="Times New Roman" w:hAnsi="Times New Roman" w:cs="Times New Roman"/>
      <w:b/>
      <w:bCs/>
      <w:sz w:val="22"/>
    </w:rPr>
  </w:style>
  <w:style w:type="paragraph" w:styleId="NormalWeb">
    <w:name w:val="Normal (Web)"/>
    <w:basedOn w:val="Normal"/>
    <w:rsid w:val="00263A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link w:val="BodyText"/>
    <w:rsid w:val="008F43BA"/>
    <w:rPr>
      <w:rFonts w:eastAsia="Times New Roman" w:cs="Times New Roman"/>
      <w:lang w:val="en"/>
    </w:rPr>
  </w:style>
  <w:style w:type="table" w:styleId="TableGrid">
    <w:name w:val="Table Grid"/>
    <w:basedOn w:val="TableNormal"/>
    <w:uiPriority w:val="59"/>
    <w:rsid w:val="0050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F7C06"/>
    <w:pPr>
      <w:ind w:left="720"/>
      <w:contextualSpacing/>
    </w:pPr>
  </w:style>
  <w:style w:type="paragraph" w:styleId="Header">
    <w:name w:val="header"/>
    <w:basedOn w:val="Normal"/>
    <w:link w:val="HeaderChar"/>
    <w:rsid w:val="00263A18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rsid w:val="00263A18"/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1"/>
    <w:autoRedefine/>
    <w:rsid w:val="008F43BA"/>
    <w:rPr>
      <w:rFonts w:eastAsia="Times New Roman" w:cs="Times New Roman"/>
      <w:lang w:val="en"/>
    </w:rPr>
  </w:style>
  <w:style w:type="character" w:customStyle="1" w:styleId="BodyTextChar">
    <w:name w:val="Body Text Char"/>
    <w:basedOn w:val="DefaultParagraphFont"/>
    <w:uiPriority w:val="99"/>
    <w:semiHidden/>
    <w:rsid w:val="00263A18"/>
  </w:style>
  <w:style w:type="paragraph" w:styleId="Caption">
    <w:name w:val="caption"/>
    <w:basedOn w:val="Normal"/>
    <w:next w:val="Normal"/>
    <w:qFormat/>
    <w:rsid w:val="00263A18"/>
    <w:rPr>
      <w:rFonts w:ascii="Times New Roman" w:eastAsia="Times New Roman" w:hAnsi="Times New Roman" w:cs="Times New Roman"/>
      <w:b/>
      <w:bCs/>
      <w:sz w:val="22"/>
    </w:rPr>
  </w:style>
  <w:style w:type="paragraph" w:styleId="NormalWeb">
    <w:name w:val="Normal (Web)"/>
    <w:basedOn w:val="Normal"/>
    <w:rsid w:val="00263A1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odyTextChar1">
    <w:name w:val="Body Text Char1"/>
    <w:basedOn w:val="DefaultParagraphFont"/>
    <w:link w:val="BodyText"/>
    <w:rsid w:val="008F43BA"/>
    <w:rPr>
      <w:rFonts w:eastAsia="Times New Roman" w:cs="Times New Roman"/>
      <w:lang w:val="en"/>
    </w:rPr>
  </w:style>
  <w:style w:type="table" w:styleId="TableGrid">
    <w:name w:val="Table Grid"/>
    <w:basedOn w:val="TableNormal"/>
    <w:uiPriority w:val="59"/>
    <w:rsid w:val="0050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2498</Characters>
  <Application>Microsoft Macintosh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Coleman</dc:creator>
  <cp:keywords/>
  <dc:description/>
  <cp:lastModifiedBy>Bridget Coleman</cp:lastModifiedBy>
  <cp:revision>5</cp:revision>
  <dcterms:created xsi:type="dcterms:W3CDTF">2014-04-16T14:55:00Z</dcterms:created>
  <dcterms:modified xsi:type="dcterms:W3CDTF">2014-05-21T15:42:00Z</dcterms:modified>
</cp:coreProperties>
</file>